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6.png" ContentType="image/png"/>
  <Override PartName="/word/media/rId64.png" ContentType="image/png"/>
  <Override PartName="/word/media/rId65.png" ContentType="image/png"/>
  <Override PartName="/word/media/rId66.png" ContentType="image/png"/>
  <Override PartName="/word/media/rId67.png" ContentType="image/png"/>
  <Override PartName="/word/media/rId57.png" ContentType="image/png"/>
  <Override PartName="/word/media/rId58.png" ContentType="image/png"/>
  <Override PartName="/word/media/rId59.png" ContentType="image/png"/>
  <Override PartName="/word/media/rId60.png" ContentType="image/png"/>
  <Override PartName="/word/media/rId61.png" ContentType="image/png"/>
  <Override PartName="/word/media/rId62.png" ContentType="image/png"/>
  <Override PartName="/word/media/rId63.png" ContentType="image/png"/>
  <Override PartName="/word/media/rId45.png" ContentType="image/png"/>
  <Override PartName="/word/media/rId46.png" ContentType="image/png"/>
  <Override PartName="/word/media/rId47.png" ContentType="image/png"/>
  <Override PartName="/word/media/rId48.png" ContentType="image/png"/>
  <Override PartName="/word/media/rId49.png" ContentType="image/png"/>
  <Override PartName="/word/media/rId50.png" ContentType="image/png"/>
  <Override PartName="/word/media/rId51.png" ContentType="image/png"/>
  <Override PartName="/word/media/rId52.png" ContentType="image/png"/>
  <Override PartName="/word/media/rId53.png" ContentType="image/png"/>
  <Override PartName="/word/media/rId54.png" ContentType="image/png"/>
  <Override PartName="/word/media/rId22.png" ContentType="image/png"/>
  <Override PartName="/word/media/rId33.png" ContentType="image/png"/>
  <Override PartName="/word/media/rId34.png" ContentType="image/png"/>
  <Override PartName="/word/media/rId35.png" ContentType="image/png"/>
  <Override PartName="/word/media/rId36.png" ContentType="image/png"/>
  <Override PartName="/word/media/rId37.png" ContentType="image/png"/>
  <Override PartName="/word/media/rId32.png" ContentType="image/png"/>
  <Override PartName="/word/media/rId39.png" ContentType="image/png"/>
  <Override PartName="/word/media/rId40.png" ContentType="image/png"/>
  <Override PartName="/word/media/rId41.png" ContentType="image/png"/>
  <Override PartName="/word/media/rId42.png" ContentType="image/png"/>
  <Override PartName="/word/media/rId23.png" ContentType="image/png"/>
  <Override PartName="/word/media/rId24.png" ContentType="image/png"/>
  <Override PartName="/word/media/rId25.png" ContentType="image/png"/>
  <Override PartName="/word/media/rId27.png" ContentType="image/png"/>
  <Override PartName="/word/media/rId28.png" ContentType="image/png"/>
  <Override PartName="/word/media/rId29.png" ContentType="image/png"/>
  <Override PartName="/word/media/rId30.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Subtitle"/>
      </w:pPr>
      <w:r>
        <w:t xml:space="preserve">Figures</w:t>
      </w:r>
      <w:r>
        <w:t xml:space="preserve"> </w:t>
      </w:r>
      <w:r>
        <w:t xml:space="preserve">to</w:t>
      </w:r>
      <w:r>
        <w:t xml:space="preserve"> </w:t>
      </w:r>
      <w:r>
        <w:t xml:space="preserve">accompany</w:t>
      </w:r>
      <w:r>
        <w:t xml:space="preserve"> </w:t>
      </w:r>
      <w:r>
        <w:t xml:space="preserve">the</w:t>
      </w:r>
      <w:r>
        <w:t xml:space="preserve"> </w:t>
      </w:r>
      <w:r>
        <w:t xml:space="preserve">manuscript,</w:t>
      </w:r>
      <w:r>
        <w:t xml:space="preserve"> </w:t>
      </w:r>
      <w:r>
        <w:rPr>
          <w:i/>
        </w:rPr>
        <w:t xml:space="preserve">Disease</w:t>
      </w:r>
      <w:r>
        <w:rPr>
          <w:i/>
        </w:rPr>
        <w:t xml:space="preserve"> </w:t>
      </w:r>
      <w:r>
        <w:rPr>
          <w:i/>
        </w:rPr>
        <w:t xml:space="preserve">Outbreak</w:t>
      </w:r>
      <w:r>
        <w:rPr>
          <w:i/>
        </w:rPr>
        <w:t xml:space="preserve"> </w:t>
      </w:r>
      <w:r>
        <w:rPr>
          <w:i/>
        </w:rPr>
        <w:t xml:space="preserve">Dictates</w:t>
      </w:r>
      <w:r>
        <w:rPr>
          <w:i/>
        </w:rPr>
        <w:t xml:space="preserve"> </w:t>
      </w:r>
      <w:r>
        <w:rPr>
          <w:i/>
        </w:rPr>
        <w:t xml:space="preserve">Spatiotemporal</w:t>
      </w:r>
      <w:r>
        <w:rPr>
          <w:i/>
        </w:rPr>
        <w:t xml:space="preserve"> </w:t>
      </w:r>
      <w:r>
        <w:rPr>
          <w:i/>
        </w:rPr>
        <w:t xml:space="preserve">Variation</w:t>
      </w:r>
      <w:r>
        <w:rPr>
          <w:i/>
        </w:rPr>
        <w:t xml:space="preserve"> </w:t>
      </w:r>
      <w:r>
        <w:rPr>
          <w:i/>
        </w:rPr>
        <w:t xml:space="preserve">in</w:t>
      </w:r>
      <w:r>
        <w:rPr>
          <w:i/>
        </w:rPr>
        <w:t xml:space="preserve"> </w:t>
      </w:r>
      <w:r>
        <w:rPr>
          <w:i/>
        </w:rPr>
        <w:t xml:space="preserve">Ochre</w:t>
      </w:r>
      <w:r>
        <w:rPr>
          <w:i/>
        </w:rPr>
        <w:t xml:space="preserve"> </w:t>
      </w:r>
      <w:r>
        <w:rPr>
          <w:i/>
        </w:rPr>
        <w:t xml:space="preserve">Star</w:t>
      </w:r>
      <w:r>
        <w:rPr>
          <w:i/>
        </w:rPr>
        <w:t xml:space="preserve"> </w:t>
      </w:r>
      <w:r>
        <w:rPr>
          <w:i/>
        </w:rPr>
        <w:t xml:space="preserve">Abundance</w:t>
      </w:r>
      <w:r>
        <w:rPr>
          <w:i/>
        </w:rPr>
        <w:t xml:space="preserve"> </w:t>
      </w:r>
      <w:r>
        <w:rPr>
          <w:i/>
        </w:rPr>
        <w:t xml:space="preserve">on</w:t>
      </w:r>
      <w:r>
        <w:rPr>
          <w:i/>
        </w:rPr>
        <w:t xml:space="preserve"> </w:t>
      </w:r>
      <w:r>
        <w:rPr>
          <w:i/>
        </w:rPr>
        <w:t xml:space="preserve">the</w:t>
      </w:r>
      <w:r>
        <w:rPr>
          <w:i/>
        </w:rPr>
        <w:t xml:space="preserve"> </w:t>
      </w:r>
      <w:r>
        <w:rPr>
          <w:i/>
        </w:rPr>
        <w:t xml:space="preserve">US</w:t>
      </w:r>
      <w:r>
        <w:rPr>
          <w:i/>
        </w:rPr>
        <w:t xml:space="preserve"> </w:t>
      </w:r>
      <w:r>
        <w:rPr>
          <w:i/>
        </w:rPr>
        <w:t xml:space="preserve">West</w:t>
      </w:r>
      <w:r>
        <w:rPr>
          <w:i/>
        </w:rPr>
        <w:t xml:space="preserve"> </w:t>
      </w:r>
      <w:r>
        <w:rPr>
          <w:i/>
        </w:rPr>
        <w:t xml:space="preserve">Coast</w:t>
      </w:r>
      <w:r>
        <w:t xml:space="preserve">,</w:t>
      </w:r>
      <w:r>
        <w:t xml:space="preserve"> </w:t>
      </w:r>
      <w:r>
        <w:t xml:space="preserve">by</w:t>
      </w:r>
      <w:r>
        <w:t xml:space="preserve"> </w:t>
      </w:r>
      <w:r>
        <w:t xml:space="preserve">Paige</w:t>
      </w:r>
      <w:r>
        <w:t xml:space="preserve"> </w:t>
      </w:r>
      <w:r>
        <w:t xml:space="preserve">Duffin</w:t>
      </w:r>
      <w:r>
        <w:t xml:space="preserve"> </w:t>
      </w:r>
      <w:r>
        <w:t xml:space="preserve">(MADA</w:t>
      </w:r>
      <w:r>
        <w:t xml:space="preserve"> </w:t>
      </w:r>
      <w:r>
        <w:t xml:space="preserve">Term</w:t>
      </w:r>
      <w:r>
        <w:t xml:space="preserve"> </w:t>
      </w:r>
      <w:r>
        <w:t xml:space="preserve">Project)</w:t>
      </w:r>
    </w:p>
    <w:p>
      <w:pPr>
        <w:pStyle w:val="Heading1"/>
      </w:pPr>
      <w:bookmarkStart w:id="20" w:name="exploratory-analyses"/>
      <w:r>
        <w:t xml:space="preserve">Exploratory Analyses</w:t>
      </w:r>
      <w:bookmarkEnd w:id="20"/>
    </w:p>
    <w:p>
      <w:pPr>
        <w:pStyle w:val="Heading2"/>
      </w:pPr>
      <w:bookmarkStart w:id="21" w:name="mapping-survey-sites"/>
      <w:r>
        <w:rPr>
          <w:b/>
          <w:i/>
        </w:rPr>
        <w:t xml:space="preserve">Mapping Survey Sites</w:t>
      </w:r>
      <w:bookmarkEnd w:id="21"/>
    </w:p>
    <w:p>
      <w:pPr>
        <w:pStyle w:val="CaptionedFigure"/>
      </w:pPr>
      <w:r>
        <w:drawing>
          <wp:inline>
            <wp:extent cx="5334000" cy="6096000"/>
            <wp:effectExtent b="0" l="0" r="0" t="0"/>
            <wp:docPr descr="Fig 1. Sampling sites included in this study that are located in Alaska, USA (color-coded red)." title="" id="1" name="Picture"/>
            <a:graphic>
              <a:graphicData uri="http://schemas.openxmlformats.org/drawingml/2006/picture">
                <pic:pic>
                  <pic:nvPicPr>
                    <pic:cNvPr descr="../../results/Exploratory_Analysis_results/1.AK_sites_map.png" id="0" name="Picture"/>
                    <pic:cNvPicPr>
                      <a:picLocks noChangeArrowheads="1" noChangeAspect="1"/>
                    </pic:cNvPicPr>
                  </pic:nvPicPr>
                  <pic:blipFill>
                    <a:blip r:embed="rId22"/>
                    <a:stretch>
                      <a:fillRect/>
                    </a:stretch>
                  </pic:blipFill>
                  <pic:spPr bwMode="auto">
                    <a:xfrm>
                      <a:off x="0" y="0"/>
                      <a:ext cx="5334000" cy="6096000"/>
                    </a:xfrm>
                    <a:prstGeom prst="rect">
                      <a:avLst/>
                    </a:prstGeom>
                    <a:noFill/>
                    <a:ln w="9525">
                      <a:noFill/>
                      <a:headEnd/>
                      <a:tailEnd/>
                    </a:ln>
                  </pic:spPr>
                </pic:pic>
              </a:graphicData>
            </a:graphic>
          </wp:inline>
        </w:drawing>
      </w:r>
    </w:p>
    <w:p>
      <w:pPr>
        <w:pStyle w:val="ImageCaption"/>
      </w:pPr>
      <w:r>
        <w:t xml:space="preserve">Fig 1. Sampling sites included in this study that are located in Alaska, USA (color-coded red).</w:t>
      </w:r>
    </w:p>
    <w:p>
      <w:pPr>
        <w:pStyle w:val="CaptionedFigure"/>
      </w:pPr>
      <w:r>
        <w:drawing>
          <wp:inline>
            <wp:extent cx="5334000" cy="6096000"/>
            <wp:effectExtent b="0" l="0" r="0" t="0"/>
            <wp:docPr descr="Fig 2. Sampling sites included in this study that are located in Washington, USA (color-coded purple)." title="" id="1" name="Picture"/>
            <a:graphic>
              <a:graphicData uri="http://schemas.openxmlformats.org/drawingml/2006/picture">
                <pic:pic>
                  <pic:nvPicPr>
                    <pic:cNvPr descr="../../results/Exploratory_Analysis_results/2.WA_sites_map.png" id="0" name="Picture"/>
                    <pic:cNvPicPr>
                      <a:picLocks noChangeArrowheads="1" noChangeAspect="1"/>
                    </pic:cNvPicPr>
                  </pic:nvPicPr>
                  <pic:blipFill>
                    <a:blip r:embed="rId23"/>
                    <a:stretch>
                      <a:fillRect/>
                    </a:stretch>
                  </pic:blipFill>
                  <pic:spPr bwMode="auto">
                    <a:xfrm>
                      <a:off x="0" y="0"/>
                      <a:ext cx="5334000" cy="6096000"/>
                    </a:xfrm>
                    <a:prstGeom prst="rect">
                      <a:avLst/>
                    </a:prstGeom>
                    <a:noFill/>
                    <a:ln w="9525">
                      <a:noFill/>
                      <a:headEnd/>
                      <a:tailEnd/>
                    </a:ln>
                  </pic:spPr>
                </pic:pic>
              </a:graphicData>
            </a:graphic>
          </wp:inline>
        </w:drawing>
      </w:r>
    </w:p>
    <w:p>
      <w:pPr>
        <w:pStyle w:val="ImageCaption"/>
      </w:pPr>
      <w:r>
        <w:t xml:space="preserve">Fig 2. Sampling sites included in this study that are located in Washington, USA (color-coded purple).</w:t>
      </w:r>
    </w:p>
    <w:p>
      <w:pPr>
        <w:pStyle w:val="CaptionedFigure"/>
      </w:pPr>
      <w:r>
        <w:drawing>
          <wp:inline>
            <wp:extent cx="5334000" cy="6096000"/>
            <wp:effectExtent b="0" l="0" r="0" t="0"/>
            <wp:docPr descr="Fig 3. Sampling sites included in this study that are located in Oregon, USA (color-coded orange)." title="" id="1" name="Picture"/>
            <a:graphic>
              <a:graphicData uri="http://schemas.openxmlformats.org/drawingml/2006/picture">
                <pic:pic>
                  <pic:nvPicPr>
                    <pic:cNvPr descr="../../results/Exploratory_Analysis_results/3.OR_sites_map.png" id="0" name="Picture"/>
                    <pic:cNvPicPr>
                      <a:picLocks noChangeArrowheads="1" noChangeAspect="1"/>
                    </pic:cNvPicPr>
                  </pic:nvPicPr>
                  <pic:blipFill>
                    <a:blip r:embed="rId24"/>
                    <a:stretch>
                      <a:fillRect/>
                    </a:stretch>
                  </pic:blipFill>
                  <pic:spPr bwMode="auto">
                    <a:xfrm>
                      <a:off x="0" y="0"/>
                      <a:ext cx="5334000" cy="6096000"/>
                    </a:xfrm>
                    <a:prstGeom prst="rect">
                      <a:avLst/>
                    </a:prstGeom>
                    <a:noFill/>
                    <a:ln w="9525">
                      <a:noFill/>
                      <a:headEnd/>
                      <a:tailEnd/>
                    </a:ln>
                  </pic:spPr>
                </pic:pic>
              </a:graphicData>
            </a:graphic>
          </wp:inline>
        </w:drawing>
      </w:r>
    </w:p>
    <w:p>
      <w:pPr>
        <w:pStyle w:val="ImageCaption"/>
      </w:pPr>
      <w:r>
        <w:t xml:space="preserve">Fig 3. Sampling sites included in this study that are located in Oregon, USA (color-coded orange).</w:t>
      </w:r>
    </w:p>
    <w:p>
      <w:pPr>
        <w:pStyle w:val="CaptionedFigure"/>
      </w:pPr>
      <w:r>
        <w:drawing>
          <wp:inline>
            <wp:extent cx="5334000" cy="6096000"/>
            <wp:effectExtent b="0" l="0" r="0" t="0"/>
            <wp:docPr descr="Fig 4. Sampling sites included in this study that are located in California, USA (color-coded teal)." title="" id="1" name="Picture"/>
            <a:graphic>
              <a:graphicData uri="http://schemas.openxmlformats.org/drawingml/2006/picture">
                <pic:pic>
                  <pic:nvPicPr>
                    <pic:cNvPr descr="../../results/Exploratory_Analysis_results/4.CA_sites_map.png" id="0" name="Picture"/>
                    <pic:cNvPicPr>
                      <a:picLocks noChangeArrowheads="1" noChangeAspect="1"/>
                    </pic:cNvPicPr>
                  </pic:nvPicPr>
                  <pic:blipFill>
                    <a:blip r:embed="rId25"/>
                    <a:stretch>
                      <a:fillRect/>
                    </a:stretch>
                  </pic:blipFill>
                  <pic:spPr bwMode="auto">
                    <a:xfrm>
                      <a:off x="0" y="0"/>
                      <a:ext cx="5334000" cy="6096000"/>
                    </a:xfrm>
                    <a:prstGeom prst="rect">
                      <a:avLst/>
                    </a:prstGeom>
                    <a:noFill/>
                    <a:ln w="9525">
                      <a:noFill/>
                      <a:headEnd/>
                      <a:tailEnd/>
                    </a:ln>
                  </pic:spPr>
                </pic:pic>
              </a:graphicData>
            </a:graphic>
          </wp:inline>
        </w:drawing>
      </w:r>
    </w:p>
    <w:p>
      <w:pPr>
        <w:pStyle w:val="ImageCaption"/>
      </w:pPr>
      <w:r>
        <w:t xml:space="preserve">Fig 4. Sampling sites included in this study that are located in California, USA (color-coded teal).</w:t>
      </w:r>
    </w:p>
    <w:p>
      <w:pPr>
        <w:pStyle w:val="Heading2"/>
      </w:pPr>
      <w:bookmarkStart w:id="26" w:name="question-1-how-does-species-abundance-change-across-time-and-space"/>
      <w:r>
        <w:rPr>
          <w:b/>
          <w:i/>
        </w:rPr>
        <w:t xml:space="preserve">Question 1: How does species abundance change across time and space?</w:t>
      </w:r>
      <w:bookmarkEnd w:id="26"/>
    </w:p>
    <w:p>
      <w:pPr>
        <w:pStyle w:val="CaptionedFigure"/>
      </w:pPr>
      <w:r>
        <w:drawing>
          <wp:inline>
            <wp:extent cx="5334000" cy="4267200"/>
            <wp:effectExtent b="0" l="0" r="0" t="0"/>
            <wp:docPr descr="Fig 5. Log-transformed counts of all species included in the surveyed (“spp. abundance”) across all sampling years in the data set (2000-2018), separated by state (AK=Alaska, WA=Washington, OR=Oregon, CA=California) and displayed as a scatterplot." title="" id="1" name="Picture"/>
            <a:graphic>
              <a:graphicData uri="http://schemas.openxmlformats.org/drawingml/2006/picture">
                <pic:pic>
                  <pic:nvPicPr>
                    <pic:cNvPr descr="../../results/Exploratory_Analysis_results/6.Abundance_State_Year_graphs.png" id="0" name="Picture"/>
                    <pic:cNvPicPr>
                      <a:picLocks noChangeArrowheads="1" noChangeAspect="1"/>
                    </pic:cNvPicPr>
                  </pic:nvPicPr>
                  <pic:blipFill>
                    <a:blip r:embed="rId27"/>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 5. Log-transformed counts of all species included in the surveyed (</w:t>
      </w:r>
      <w:r>
        <w:t xml:space="preserve">“</w:t>
      </w:r>
      <w:r>
        <w:t xml:space="preserve">spp. abundance</w:t>
      </w:r>
      <w:r>
        <w:t xml:space="preserve">”</w:t>
      </w:r>
      <w:r>
        <w:t xml:space="preserve">) across all sampling years in the data set (2000-2018), separated by state (AK=Alaska, WA=Washington, OR=Oregon, CA=California) and displayed as a scatterplot.</w:t>
      </w:r>
    </w:p>
    <w:p>
      <w:pPr>
        <w:pStyle w:val="CaptionedFigure"/>
      </w:pPr>
      <w:r>
        <w:drawing>
          <wp:inline>
            <wp:extent cx="5334000" cy="4267200"/>
            <wp:effectExtent b="0" l="0" r="0" t="0"/>
            <wp:docPr descr="Fig 6. Log-transformed counts of the ochre sea star (Pisaster ochraceus) across all sampling years in the data set (2000-2018) across all sampling locations, displayed as a series of boxplots." title="" id="1" name="Picture"/>
            <a:graphic>
              <a:graphicData uri="http://schemas.openxmlformats.org/drawingml/2006/picture">
                <pic:pic>
                  <pic:nvPicPr>
                    <pic:cNvPr descr="../../results/Exploratory_Analysis_results/7.P.ochra_only_2000-2018.png" id="0" name="Picture"/>
                    <pic:cNvPicPr>
                      <a:picLocks noChangeArrowheads="1" noChangeAspect="1"/>
                    </pic:cNvPicPr>
                  </pic:nvPicPr>
                  <pic:blipFill>
                    <a:blip r:embed="rId28"/>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 6. Log-transformed counts of the ochre sea star (Pisaster ochraceus) across all sampling years in the data set (2000-2018) across all sampling locations, displayed as a series of boxplots.</w:t>
      </w:r>
    </w:p>
    <w:p>
      <w:pPr>
        <w:pStyle w:val="CaptionedFigure"/>
      </w:pPr>
      <w:r>
        <w:drawing>
          <wp:inline>
            <wp:extent cx="5334000" cy="4267200"/>
            <wp:effectExtent b="0" l="0" r="0" t="0"/>
            <wp:docPr descr="Fig 7. Log-transformed counts of the black chiton (Katharina tunicata) across all sampling years in the data set (2009-2018) across all sampling locations, displayed as a series of boxplots. This species was not recorded prior to 2009." title="" id="1" name="Picture"/>
            <a:graphic>
              <a:graphicData uri="http://schemas.openxmlformats.org/drawingml/2006/picture">
                <pic:pic>
                  <pic:nvPicPr>
                    <pic:cNvPr descr="../../results/Exploratory_Analysis_results/8.K.tuni_only_2000-2018.png" id="0" name="Picture"/>
                    <pic:cNvPicPr>
                      <a:picLocks noChangeArrowheads="1" noChangeAspect="1"/>
                    </pic:cNvPicPr>
                  </pic:nvPicPr>
                  <pic:blipFill>
                    <a:blip r:embed="rId29"/>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 7. Log-transformed counts of the black chiton (Katharina tunicata) across all sampling years in the data set (2009-2018) across all sampling locations, displayed as a series of boxplots. This species was not recorded prior to 2009.</w:t>
      </w:r>
    </w:p>
    <w:p>
      <w:pPr>
        <w:pStyle w:val="CaptionedFigure"/>
      </w:pPr>
      <w:r>
        <w:drawing>
          <wp:inline>
            <wp:extent cx="5334000" cy="4267200"/>
            <wp:effectExtent b="0" l="0" r="0" t="0"/>
            <wp:docPr descr="Fig 8. Log-transformed counts of the mottled sea star (Evasterias troschelii) across all sampling years in the data set (2009-2018) across all sampling locations, displayed as a series of boxplots. This species was not recorded prior to 2009." title="" id="1" name="Picture"/>
            <a:graphic>
              <a:graphicData uri="http://schemas.openxmlformats.org/drawingml/2006/picture">
                <pic:pic>
                  <pic:nvPicPr>
                    <pic:cNvPr descr="../../results/Exploratory_Analysis_results/9.E.tros_only_2000-2018.png" id="0" name="Picture"/>
                    <pic:cNvPicPr>
                      <a:picLocks noChangeArrowheads="1" noChangeAspect="1"/>
                    </pic:cNvPicPr>
                  </pic:nvPicPr>
                  <pic:blipFill>
                    <a:blip r:embed="rId30"/>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 8. Log-transformed counts of the mottled sea star (Evasterias troschelii) across all sampling years in the data set (2009-2018) across all sampling locations, displayed as a series of boxplots. This species was not recorded prior to 2009.</w:t>
      </w:r>
    </w:p>
    <w:p>
      <w:pPr>
        <w:pStyle w:val="Heading2"/>
      </w:pPr>
      <w:bookmarkStart w:id="31" w:name="question-2-are-there-discernable-changes-in-spp.-abundance-before-after-the-focal-sswd-event"/>
      <w:r>
        <w:rPr>
          <w:b/>
          <w:i/>
        </w:rPr>
        <w:t xml:space="preserve">Question 2: Are there discernable changes in spp. abundance before &amp; after the focal SSWD event?</w:t>
      </w:r>
      <w:bookmarkEnd w:id="31"/>
    </w:p>
    <w:p>
      <w:pPr>
        <w:pStyle w:val="CaptionedFigure"/>
      </w:pPr>
      <w:r>
        <w:drawing>
          <wp:inline>
            <wp:extent cx="5334000" cy="4267200"/>
            <wp:effectExtent b="0" l="0" r="0" t="0"/>
            <wp:docPr descr="Fig 9. Maps displaying the sampling locations where the three species surveyed [ochre sea star (Pisaster ochraceus), black chiton (Katharina tunicata), mottled sea star (Evasterias troschelii)] were found between 2013 and 2016, during the focal sea star wasting disease (SSWD) event of interest. Note that locations are approximate; site points were jittered to allow more complete visualization." title="" id="1" name="Picture"/>
            <a:graphic>
              <a:graphicData uri="http://schemas.openxmlformats.org/drawingml/2006/picture">
                <pic:pic>
                  <pic:nvPicPr>
                    <pic:cNvPr descr="../../results/Exploratory_Analysis_results/14.SpeciesRangesSSWD.png" id="0" name="Picture"/>
                    <pic:cNvPicPr>
                      <a:picLocks noChangeArrowheads="1" noChangeAspect="1"/>
                    </pic:cNvPicPr>
                  </pic:nvPicPr>
                  <pic:blipFill>
                    <a:blip r:embed="rId32"/>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 9. Maps displaying the sampling locations where the three species surveyed [ochre sea star (Pisaster ochraceus), black chiton (Katharina tunicata), mottled sea star (Evasterias troschelii)] were found between 2013 and 2016, during the focal sea star wasting disease (SSWD) event of interest. Note that locations are approximate; site points were jittered to allow more complete visualization.</w:t>
      </w:r>
    </w:p>
    <w:p>
      <w:pPr>
        <w:pStyle w:val="CaptionedFigure"/>
      </w:pPr>
      <w:r>
        <w:drawing>
          <wp:inline>
            <wp:extent cx="5334000" cy="4267200"/>
            <wp:effectExtent b="0" l="0" r="0" t="0"/>
            <wp:docPr descr="Fig 10. Log-transformed counts of the ochre sea star (Pisaster ochraceus) across all sampling locations during the years surrounding a significant sea star wasting disease (SSWD) event (2013-2016), displayed as a series of boxplots." title="" id="1" name="Picture"/>
            <a:graphic>
              <a:graphicData uri="http://schemas.openxmlformats.org/drawingml/2006/picture">
                <pic:pic>
                  <pic:nvPicPr>
                    <pic:cNvPr descr="../../results/Exploratory_Analysis_results/10.P.ochra_SSWDtf_plot.png" id="0" name="Picture"/>
                    <pic:cNvPicPr>
                      <a:picLocks noChangeArrowheads="1" noChangeAspect="1"/>
                    </pic:cNvPicPr>
                  </pic:nvPicPr>
                  <pic:blipFill>
                    <a:blip r:embed="rId33"/>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 10. Log-transformed counts of the ochre sea star (Pisaster ochraceus) across all sampling locations during the years surrounding a significant sea star wasting disease (SSWD) event (2013-2016), displayed as a series of boxplots.</w:t>
      </w:r>
    </w:p>
    <w:p>
      <w:pPr>
        <w:pStyle w:val="CaptionedFigure"/>
      </w:pPr>
      <w:r>
        <w:drawing>
          <wp:inline>
            <wp:extent cx="5334000" cy="4267200"/>
            <wp:effectExtent b="0" l="0" r="0" t="0"/>
            <wp:docPr descr="Fig 11. Log-transformed counts of the black chiton (Katharina tunicata) across all sampling locations during the years surrounding a significant sea star wasting disease (SSWD) event (2013-2016), displayed as a series of boxplots." title="" id="1" name="Picture"/>
            <a:graphic>
              <a:graphicData uri="http://schemas.openxmlformats.org/drawingml/2006/picture">
                <pic:pic>
                  <pic:nvPicPr>
                    <pic:cNvPr descr="../../results/Exploratory_Analysis_results/11.K.tuni_SSWDtf_plot.png" id="0" name="Picture"/>
                    <pic:cNvPicPr>
                      <a:picLocks noChangeArrowheads="1" noChangeAspect="1"/>
                    </pic:cNvPicPr>
                  </pic:nvPicPr>
                  <pic:blipFill>
                    <a:blip r:embed="rId34"/>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 11. Log-transformed counts of the black chiton (Katharina tunicata) across all sampling locations during the years surrounding a significant sea star wasting disease (SSWD) event (2013-2016), displayed as a series of boxplots.</w:t>
      </w:r>
    </w:p>
    <w:p>
      <w:pPr>
        <w:pStyle w:val="CaptionedFigure"/>
      </w:pPr>
      <w:r>
        <w:drawing>
          <wp:inline>
            <wp:extent cx="5334000" cy="4267200"/>
            <wp:effectExtent b="0" l="0" r="0" t="0"/>
            <wp:docPr descr="Fig 12. Log-transformed counts of the mottled sea star (Evasterias troschelii) across all sampling locations during the years surrounding a significant sea star wasting disease (SSWD) event (2013-2016), displayed as a series of boxplots." title="" id="1" name="Picture"/>
            <a:graphic>
              <a:graphicData uri="http://schemas.openxmlformats.org/drawingml/2006/picture">
                <pic:pic>
                  <pic:nvPicPr>
                    <pic:cNvPr descr="../../results/Exploratory_Analysis_results/12.E.tros_SSWDtf_plot.png" id="0" name="Picture"/>
                    <pic:cNvPicPr>
                      <a:picLocks noChangeArrowheads="1" noChangeAspect="1"/>
                    </pic:cNvPicPr>
                  </pic:nvPicPr>
                  <pic:blipFill>
                    <a:blip r:embed="rId35"/>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 12. Log-transformed counts of the mottled sea star (Evasterias troschelii) across all sampling locations during the years surrounding a significant sea star wasting disease (SSWD) event (2013-2016), displayed as a series of boxplots.</w:t>
      </w:r>
    </w:p>
    <w:p>
      <w:pPr>
        <w:pStyle w:val="CaptionedFigure"/>
      </w:pPr>
      <w:r>
        <w:drawing>
          <wp:inline>
            <wp:extent cx="5334000" cy="4445000"/>
            <wp:effectExtent b="0" l="0" r="0" t="0"/>
            <wp:docPr descr="Fig 13. Log-transformed counts of (A) ochre sea star (Pisaster ochraceus) (B) black chiton (Katharina tunicata) and (C) mottled sea star (Evasterias troschelii) across sampling locations during the years surrounding a significant sea star wasting disease (SSWD) event (2013-2016), separated by state and displayed as a series of boxplots." title="" id="1" name="Picture"/>
            <a:graphic>
              <a:graphicData uri="http://schemas.openxmlformats.org/drawingml/2006/picture">
                <pic:pic>
                  <pic:nvPicPr>
                    <pic:cNvPr descr="../../results/Exploratory_Analysis_results/13.Spp_SSWDtf_state_plot.png" id="0" name="Picture"/>
                    <pic:cNvPicPr>
                      <a:picLocks noChangeArrowheads="1" noChangeAspect="1"/>
                    </pic:cNvPicPr>
                  </pic:nvPicPr>
                  <pic:blipFill>
                    <a:blip r:embed="rId36"/>
                    <a:stretch>
                      <a:fillRect/>
                    </a:stretch>
                  </pic:blipFill>
                  <pic:spPr bwMode="auto">
                    <a:xfrm>
                      <a:off x="0" y="0"/>
                      <a:ext cx="5334000" cy="4445000"/>
                    </a:xfrm>
                    <a:prstGeom prst="rect">
                      <a:avLst/>
                    </a:prstGeom>
                    <a:noFill/>
                    <a:ln w="9525">
                      <a:noFill/>
                      <a:headEnd/>
                      <a:tailEnd/>
                    </a:ln>
                  </pic:spPr>
                </pic:pic>
              </a:graphicData>
            </a:graphic>
          </wp:inline>
        </w:drawing>
      </w:r>
    </w:p>
    <w:p>
      <w:pPr>
        <w:pStyle w:val="ImageCaption"/>
      </w:pPr>
      <w:r>
        <w:t xml:space="preserve">Fig 13. Log-transformed counts of (A) ochre sea star (Pisaster ochraceus) (B) black chiton (Katharina tunicata) and (C) mottled sea star (Evasterias troschelii) across sampling locations during the years surrounding a significant sea star wasting disease (SSWD) event (2013-2016), separated by state and displayed as a series of boxplots.</w:t>
      </w:r>
    </w:p>
    <w:p>
      <w:pPr>
        <w:pStyle w:val="CaptionedFigure"/>
      </w:pPr>
      <w:r>
        <w:drawing>
          <wp:inline>
            <wp:extent cx="5334000" cy="4267200"/>
            <wp:effectExtent b="0" l="0" r="0" t="0"/>
            <wp:docPr descr="Fig 14. Log-transformed counts of the ochre sea star (Pisaster ochraceus; top, in purple) and black chiton (Katharina tunicata; bottom, in orange) across sampling locations during the years surrounding a significant sea star wasting disease (SSWD) event (2013-2016), separated into sampling seasons (for example, Sp13 = Spring 2013) corresponding to and displayed as a series of boxplots." title="" id="1" name="Picture"/>
            <a:graphic>
              <a:graphicData uri="http://schemas.openxmlformats.org/drawingml/2006/picture">
                <pic:pic>
                  <pic:nvPicPr>
                    <pic:cNvPr descr="../../results/Exploratory_Analysis_results/14.Season_year_boxplot_po_kt.png" id="0" name="Picture"/>
                    <pic:cNvPicPr>
                      <a:picLocks noChangeArrowheads="1" noChangeAspect="1"/>
                    </pic:cNvPicPr>
                  </pic:nvPicPr>
                  <pic:blipFill>
                    <a:blip r:embed="rId37"/>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 14. Log-transformed counts of the ochre sea star (Pisaster ochraceus; top, in purple) and black chiton (Katharina tunicata; bottom, in orange) across sampling locations during the years surrounding a significant sea star wasting disease (SSWD) event (2013-2016), separated into sampling seasons (for example, Sp13 = Spring 2013) corresponding to and displayed as a series of boxplots.</w:t>
      </w:r>
    </w:p>
    <w:p>
      <w:pPr>
        <w:pStyle w:val="Heading2"/>
      </w:pPr>
      <w:bookmarkStart w:id="38" w:name="question-3-how-did-populations-of-the-focal-sp.-p.-ochraceus-respond-recover-from-the-sswd-event"/>
      <w:r>
        <w:rPr>
          <w:b/>
          <w:i/>
        </w:rPr>
        <w:t xml:space="preserve">Question 3: How did populations of the focal sp., P. ochraceus, respond &amp; recover from the SSWD event?</w:t>
      </w:r>
      <w:bookmarkEnd w:id="38"/>
    </w:p>
    <w:p>
      <w:pPr>
        <w:pStyle w:val="CaptionedFigure"/>
      </w:pPr>
      <w:r>
        <w:drawing>
          <wp:inline>
            <wp:extent cx="5334000" cy="4267200"/>
            <wp:effectExtent b="0" l="0" r="0" t="0"/>
            <wp:docPr descr="Fig 15. Log-transformed counts of the ochre sea star (Pisaster ochraceus) during the years surrounding a significant sea star wasting disease (SSWD) event (2013-2016); each panel represents of the six sites that had high abundance counts prior to the SSWD event (50+ individuals counted during 2013). The data is displayed as a series of density plots shaded by quartiles (lightest to darkest, or left to right, corresponds to 1st through 4th quartiles); in other words, each block of color represents 25% of the area." title="" id="1" name="Picture"/>
            <a:graphic>
              <a:graphicData uri="http://schemas.openxmlformats.org/drawingml/2006/picture">
                <pic:pic>
                  <pic:nvPicPr>
                    <pic:cNvPr descr="../../results/Exploratory_Analysis_results/16.P.ochra_SSWDtf_over50_bysite_fig.png" id="0" name="Picture"/>
                    <pic:cNvPicPr>
                      <a:picLocks noChangeArrowheads="1" noChangeAspect="1"/>
                    </pic:cNvPicPr>
                  </pic:nvPicPr>
                  <pic:blipFill>
                    <a:blip r:embed="rId39"/>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 15. Log-transformed counts of the ochre sea star (Pisaster ochraceus) during the years surrounding a significant sea star wasting disease (SSWD) event (2013-2016); each panel represents of the six sites that had high abundance counts prior to the SSWD event (50+ individuals counted during 2013). The data is displayed as a series of density plots shaded by quartiles (lightest to darkest, or left to right, corresponds to 1st through 4th quartiles); in other words, each block of color represents 25% of the area.</w:t>
      </w:r>
    </w:p>
    <w:p>
      <w:pPr>
        <w:pStyle w:val="CaptionedFigure"/>
      </w:pPr>
      <w:r>
        <w:drawing>
          <wp:inline>
            <wp:extent cx="5334000" cy="3556000"/>
            <wp:effectExtent b="0" l="0" r="0" t="0"/>
            <wp:docPr descr="Fig 16. (A) Log-transformed counts and (B) size class of the ochre sea star (Pisaster ochraceus) during an 8-year period (2010-2018) surrounding a significant sea star wasting disease (SSWD) event across all sites. The data is displayed as a series of density plots shaded by quartiles." title="" id="1" name="Picture"/>
            <a:graphic>
              <a:graphicData uri="http://schemas.openxmlformats.org/drawingml/2006/picture">
                <pic:pic>
                  <pic:nvPicPr>
                    <pic:cNvPr descr="../../results/Exploratory_Analysis_results/17.P.ochra_size.vs.abundance_density_allsites.png" id="0" name="Picture"/>
                    <pic:cNvPicPr>
                      <a:picLocks noChangeArrowheads="1" noChangeAspect="1"/>
                    </pic:cNvPicPr>
                  </pic:nvPicPr>
                  <pic:blipFill>
                    <a:blip r:embed="rId40"/>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 16. (A) Log-transformed counts and (B) size class of the ochre sea star (Pisaster ochraceus) during an 8-year period (2010-2018) surrounding a significant sea star wasting disease (SSWD) event across all sites. The data is displayed as a series of density plots shaded by quartiles.</w:t>
      </w:r>
    </w:p>
    <w:p>
      <w:pPr>
        <w:pStyle w:val="CaptionedFigure"/>
      </w:pPr>
      <w:r>
        <w:drawing>
          <wp:inline>
            <wp:extent cx="5334000" cy="3556000"/>
            <wp:effectExtent b="0" l="0" r="0" t="0"/>
            <wp:docPr descr="Fig 17. (A) Log-transformed counts and (B) size class of the ochre sea star (Pisaster ochraceus) during an 8-year period (2010-2018) surrounding a significant sea star wasting disease (SSWD) event filtered to only include sites with high counts pre-SSWD (50+ individuals counted during 2013). The data is displayed as a series of density plots shaded by quartiles." title="" id="1" name="Picture"/>
            <a:graphic>
              <a:graphicData uri="http://schemas.openxmlformats.org/drawingml/2006/picture">
                <pic:pic>
                  <pic:nvPicPr>
                    <pic:cNvPr descr="../../results/Exploratory_Analysis_results/18.P.ochra_size_abundance_density_over50.png" id="0" name="Picture"/>
                    <pic:cNvPicPr>
                      <a:picLocks noChangeArrowheads="1" noChangeAspect="1"/>
                    </pic:cNvPicPr>
                  </pic:nvPicPr>
                  <pic:blipFill>
                    <a:blip r:embed="rId41"/>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 17. (A) Log-transformed counts and (B) size class of the ochre sea star (Pisaster ochraceus) during an 8-year period (2010-2018) surrounding a significant sea star wasting disease (SSWD) event filtered to only include sites with high counts pre-SSWD (50+ individuals counted during 2013). The data is displayed as a series of density plots shaded by quartiles.</w:t>
      </w:r>
    </w:p>
    <w:p>
      <w:pPr>
        <w:pStyle w:val="CaptionedFigure"/>
      </w:pPr>
      <w:r>
        <w:drawing>
          <wp:inline>
            <wp:extent cx="5334000" cy="3556000"/>
            <wp:effectExtent b="0" l="0" r="0" t="0"/>
            <wp:docPr descr="Fig 18. (A) Raw counts/abundance and (B) log-transformed counts in Pisaster ochraceus during an 8-year period (2010-2018), separated into sampling seasons (Sp10 = Spring 2010, etc.) across all sites surveyed. Data is displayed as a scatterplot; points are colored by the log-transformed size class and the regression lines are plotted using a LOESS (locally weighted smoothing) model." title="" id="1" name="Picture"/>
            <a:graphic>
              <a:graphicData uri="http://schemas.openxmlformats.org/drawingml/2006/picture">
                <pic:pic>
                  <pic:nvPicPr>
                    <pic:cNvPr descr="../../results/Exploratory_Analysis_results/19.P.ochra_size_abundance_scatter.png" id="0" name="Picture"/>
                    <pic:cNvPicPr>
                      <a:picLocks noChangeArrowheads="1" noChangeAspect="1"/>
                    </pic:cNvPicPr>
                  </pic:nvPicPr>
                  <pic:blipFill>
                    <a:blip r:embed="rId42"/>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 18. (A) Raw counts/abundance and (B) log-transformed counts in Pisaster ochraceus during an 8-year period (2010-2018), separated into sampling seasons (Sp10 = Spring 2010, etc.) across all sites surveyed. Data is displayed as a scatterplot; points are colored by the log-transformed size class and the regression lines are plotted using a LOESS (locally weighted smoothing) model.</w:t>
      </w:r>
    </w:p>
    <w:p>
      <w:pPr>
        <w:pStyle w:val="Heading1"/>
      </w:pPr>
      <w:bookmarkStart w:id="43" w:name="full-machine-learning-analyses"/>
      <w:r>
        <w:t xml:space="preserve">Full Machine Learning Analyses</w:t>
      </w:r>
      <w:bookmarkEnd w:id="43"/>
    </w:p>
    <w:p>
      <w:pPr>
        <w:pStyle w:val="Heading2"/>
      </w:pPr>
      <w:bookmarkStart w:id="44" w:name="question-1-which-variables-are-good-predictors-of-species-abundance-variable-selection"/>
      <w:r>
        <w:rPr>
          <w:b/>
          <w:i/>
        </w:rPr>
        <w:t xml:space="preserve">Question 1: Which variables are good predictors of species abundance? Variable Selection</w:t>
      </w:r>
      <w:bookmarkEnd w:id="44"/>
    </w:p>
    <w:p>
      <w:pPr>
        <w:pStyle w:val="CaptionedFigure"/>
      </w:pPr>
      <w:r>
        <w:drawing>
          <wp:inline>
            <wp:extent cx="5334000" cy="4267200"/>
            <wp:effectExtent b="0" l="0" r="0" t="0"/>
            <wp:docPr descr="Fig 19. (continued below)" title="" id="1" name="Picture"/>
            <a:graphic>
              <a:graphicData uri="http://schemas.openxmlformats.org/drawingml/2006/picture">
                <pic:pic>
                  <pic:nvPicPr>
                    <pic:cNvPr descr="../../results/Continuous_Outcome_Modeling_results/1A.Spatial_Numeric.png" id="0" name="Picture"/>
                    <pic:cNvPicPr>
                      <a:picLocks noChangeArrowheads="1" noChangeAspect="1"/>
                    </pic:cNvPicPr>
                  </pic:nvPicPr>
                  <pic:blipFill>
                    <a:blip r:embed="rId45"/>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 19. (continued below)</w:t>
      </w:r>
    </w:p>
    <w:p>
      <w:pPr>
        <w:pStyle w:val="CaptionedFigure"/>
      </w:pPr>
      <w:r>
        <w:drawing>
          <wp:inline>
            <wp:extent cx="5334000" cy="4267200"/>
            <wp:effectExtent b="0" l="0" r="0" t="0"/>
            <wp:docPr descr="Fig 19. (continued below)" title="" id="1" name="Picture"/>
            <a:graphic>
              <a:graphicData uri="http://schemas.openxmlformats.org/drawingml/2006/picture">
                <pic:pic>
                  <pic:nvPicPr>
                    <pic:cNvPr descr="../../results/Continuous_Outcome_Modeling_results/1B.Temporal_Numeric.png" id="0" name="Picture"/>
                    <pic:cNvPicPr>
                      <a:picLocks noChangeArrowheads="1" noChangeAspect="1"/>
                    </pic:cNvPicPr>
                  </pic:nvPicPr>
                  <pic:blipFill>
                    <a:blip r:embed="rId46"/>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 19. (continued below)</w:t>
      </w:r>
    </w:p>
    <w:p>
      <w:pPr>
        <w:pStyle w:val="CaptionedFigure"/>
      </w:pPr>
      <w:r>
        <w:drawing>
          <wp:inline>
            <wp:extent cx="5334000" cy="4267200"/>
            <wp:effectExtent b="0" l="0" r="0" t="0"/>
            <wp:docPr descr="Fig 19. Plotting (A) spatial (B) temporal and (C) miscellaneous numeric predictors against the outcome of interest, ochre sea star (P. ochraceus) abundance (log-transformed “total”). Points colored by log(Abundance) values." title="" id="1" name="Picture"/>
            <a:graphic>
              <a:graphicData uri="http://schemas.openxmlformats.org/drawingml/2006/picture">
                <pic:pic>
                  <pic:nvPicPr>
                    <pic:cNvPr descr="../../results/Continuous_Outcome_Modeling_results/1C.Misc_Numeric.png" id="0" name="Picture"/>
                    <pic:cNvPicPr>
                      <a:picLocks noChangeArrowheads="1" noChangeAspect="1"/>
                    </pic:cNvPicPr>
                  </pic:nvPicPr>
                  <pic:blipFill>
                    <a:blip r:embed="rId47"/>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 19. Plotting (A) spatial (B) temporal and (C) miscellaneous numeric predictors against the outcome of interest, ochre sea star (P. ochraceus) abundance (log-transformed</w:t>
      </w:r>
      <w:r>
        <w:t xml:space="preserve"> </w:t>
      </w:r>
      <w:r>
        <w:t xml:space="preserve">“</w:t>
      </w:r>
      <w:r>
        <w:t xml:space="preserve">total</w:t>
      </w:r>
      <w:r>
        <w:t xml:space="preserve">”</w:t>
      </w:r>
      <w:r>
        <w:t xml:space="preserve">). Points colored by log(Abundance) values.</w:t>
      </w:r>
    </w:p>
    <w:p>
      <w:pPr>
        <w:pStyle w:val="CaptionedFigure"/>
      </w:pPr>
      <w:r>
        <w:drawing>
          <wp:inline>
            <wp:extent cx="5334000" cy="4267200"/>
            <wp:effectExtent b="0" l="0" r="0" t="0"/>
            <wp:docPr descr="Fig 20. (continued below)" title="" id="1" name="Picture"/>
            <a:graphic>
              <a:graphicData uri="http://schemas.openxmlformats.org/drawingml/2006/picture">
                <pic:pic>
                  <pic:nvPicPr>
                    <pic:cNvPr descr="../../results/Continuous_Outcome_Modeling_results/2A.SampleInfo_Cat.png" id="0" name="Picture"/>
                    <pic:cNvPicPr>
                      <a:picLocks noChangeArrowheads="1" noChangeAspect="1"/>
                    </pic:cNvPicPr>
                  </pic:nvPicPr>
                  <pic:blipFill>
                    <a:blip r:embed="rId48"/>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 20. (continued below)</w:t>
      </w:r>
    </w:p>
    <w:p>
      <w:pPr>
        <w:pStyle w:val="CaptionedFigure"/>
      </w:pPr>
      <w:r>
        <w:drawing>
          <wp:inline>
            <wp:extent cx="5334000" cy="4267200"/>
            <wp:effectExtent b="0" l="0" r="0" t="0"/>
            <wp:docPr descr="Fig 20. (continued below)" title="" id="1" name="Picture"/>
            <a:graphic>
              <a:graphicData uri="http://schemas.openxmlformats.org/drawingml/2006/picture">
                <pic:pic>
                  <pic:nvPicPr>
                    <pic:cNvPr descr="../../results/Continuous_Outcome_Modeling_results/2B.Spatial_I_Cat.png" id="0" name="Picture"/>
                    <pic:cNvPicPr>
                      <a:picLocks noChangeArrowheads="1" noChangeAspect="1"/>
                    </pic:cNvPicPr>
                  </pic:nvPicPr>
                  <pic:blipFill>
                    <a:blip r:embed="rId49"/>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 20. (continued below)</w:t>
      </w:r>
    </w:p>
    <w:p>
      <w:pPr>
        <w:pStyle w:val="CaptionedFigure"/>
      </w:pPr>
      <w:r>
        <w:drawing>
          <wp:inline>
            <wp:extent cx="5334000" cy="4267200"/>
            <wp:effectExtent b="0" l="0" r="0" t="0"/>
            <wp:docPr descr="Fig 20. Plotting (A) sampling information-related and (B)/(C) spatial categorical predictors against the outcome of interest, ochre sea star (P. ochraceus) abundance (log-transformed “total”). Points colored by log(Abundance) values." title="" id="1" name="Picture"/>
            <a:graphic>
              <a:graphicData uri="http://schemas.openxmlformats.org/drawingml/2006/picture">
                <pic:pic>
                  <pic:nvPicPr>
                    <pic:cNvPr descr="../../results/Continuous_Outcome_Modeling_results/2C.Spatial_II_Cat.png" id="0" name="Picture"/>
                    <pic:cNvPicPr>
                      <a:picLocks noChangeArrowheads="1" noChangeAspect="1"/>
                    </pic:cNvPicPr>
                  </pic:nvPicPr>
                  <pic:blipFill>
                    <a:blip r:embed="rId50"/>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 20. Plotting (A) sampling information-related and (B)/(C) spatial categorical predictors against the outcome of interest, ochre sea star (P. ochraceus) abundance (log-transformed</w:t>
      </w:r>
      <w:r>
        <w:t xml:space="preserve"> </w:t>
      </w:r>
      <w:r>
        <w:t xml:space="preserve">“</w:t>
      </w:r>
      <w:r>
        <w:t xml:space="preserve">total</w:t>
      </w:r>
      <w:r>
        <w:t xml:space="preserve">”</w:t>
      </w:r>
      <w:r>
        <w:t xml:space="preserve">). Points colored by log(Abundance) values.</w:t>
      </w:r>
    </w:p>
    <w:p>
      <w:pPr>
        <w:pStyle w:val="CaptionedFigure"/>
      </w:pPr>
      <w:r>
        <w:drawing>
          <wp:inline>
            <wp:extent cx="5334000" cy="4267200"/>
            <wp:effectExtent b="0" l="0" r="0" t="0"/>
            <wp:docPr descr="Fig 21. Results of single predictor models evaluated on the training data using the performance metric RMSE (root mean squared error). The red dashed line represents the RMSE of the null model (null model RMSE = 17.13)." title="" id="1" name="Picture"/>
            <a:graphic>
              <a:graphicData uri="http://schemas.openxmlformats.org/drawingml/2006/picture">
                <pic:pic>
                  <pic:nvPicPr>
                    <pic:cNvPr descr="../../results/Continuous_Outcome_Modeling_results/3.Single_Predictor_RMSE.png" id="0" name="Picture"/>
                    <pic:cNvPicPr>
                      <a:picLocks noChangeArrowheads="1" noChangeAspect="1"/>
                    </pic:cNvPicPr>
                  </pic:nvPicPr>
                  <pic:blipFill>
                    <a:blip r:embed="rId51"/>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 21. Results of single predictor models evaluated on the training data using the performance metric RMSE (root mean squared error). The red dashed line represents the RMSE of the null model (null model RMSE = 17.13).</w:t>
      </w:r>
    </w:p>
    <w:p>
      <w:pPr>
        <w:pStyle w:val="CaptionedFigure"/>
      </w:pPr>
      <w:r>
        <w:drawing>
          <wp:inline>
            <wp:extent cx="5334000" cy="4267200"/>
            <wp:effectExtent b="0" l="0" r="0" t="0"/>
            <wp:docPr descr="Fig 23. Results of multiple predictor models before and after centering and scaling [ex. knn and knn_cs denote before and after centering/scaling (‘cs’), respectively], evaluated on the training data using the performance metric RMSE (root mean squared error). The red dashed line represents the RMSE of the null model (null model RMSE = 17.13)." title="" id="1" name="Picture"/>
            <a:graphic>
              <a:graphicData uri="http://schemas.openxmlformats.org/drawingml/2006/picture">
                <pic:pic>
                  <pic:nvPicPr>
                    <pic:cNvPr descr="../../results/Continuous_Outcome_Modeling_results/4.Multi_Predictor_RMSE_cs.png" id="0" name="Picture"/>
                    <pic:cNvPicPr>
                      <a:picLocks noChangeArrowheads="1" noChangeAspect="1"/>
                    </pic:cNvPicPr>
                  </pic:nvPicPr>
                  <pic:blipFill>
                    <a:blip r:embed="rId52"/>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 23. Results of multiple predictor models before and after centering and scaling [ex. knn and knn_cs denote before and after centering/scaling (</w:t>
      </w:r>
      <w:r>
        <w:t xml:space="preserve">‘</w:t>
      </w:r>
      <w:r>
        <w:t xml:space="preserve">cs</w:t>
      </w:r>
      <w:r>
        <w:t xml:space="preserve">’</w:t>
      </w:r>
      <w:r>
        <w:t xml:space="preserve">), respectively], evaluated on the training data using the performance metric RMSE (root mean squared error). The red dashed line represents the RMSE of the null model (null model RMSE = 17.13).</w:t>
      </w:r>
    </w:p>
    <w:p>
      <w:pPr>
        <w:pStyle w:val="CaptionedFigure"/>
      </w:pPr>
      <w:r>
        <w:drawing>
          <wp:inline>
            <wp:extent cx="5334000" cy="4267200"/>
            <wp:effectExtent b="0" l="0" r="0" t="0"/>
            <wp:docPr descr="Fig 24. Predicted versus outcome residuals for the best-fitting model (knn) on the training data." title="" id="1" name="Picture"/>
            <a:graphic>
              <a:graphicData uri="http://schemas.openxmlformats.org/drawingml/2006/picture">
                <pic:pic>
                  <pic:nvPicPr>
                    <pic:cNvPr descr="../../results/Continuous_Outcome_Modeling_results/5.Residuals.png" id="0" name="Picture"/>
                    <pic:cNvPicPr>
                      <a:picLocks noChangeArrowheads="1" noChangeAspect="1"/>
                    </pic:cNvPicPr>
                  </pic:nvPicPr>
                  <pic:blipFill>
                    <a:blip r:embed="rId53"/>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 24. Predicted versus outcome residuals for the best-fitting model (knn) on the training data.</w:t>
      </w:r>
    </w:p>
    <w:p>
      <w:pPr>
        <w:pStyle w:val="CaptionedFigure"/>
      </w:pPr>
      <w:r>
        <w:drawing>
          <wp:inline>
            <wp:extent cx="5334000" cy="4267200"/>
            <wp:effectExtent b="0" l="0" r="0" t="0"/>
            <wp:docPr descr="Fig 25. Results of the best fitting model (knn, or “fit_3”), evaluated on the training and test data using the performance metric RMSE (root mean squared error). The RMSE of the null model on each of the two data sets is also displayed (“Null_train” and “Null_test”) for context and comparison." title="" id="1" name="Picture"/>
            <a:graphic>
              <a:graphicData uri="http://schemas.openxmlformats.org/drawingml/2006/picture">
                <pic:pic>
                  <pic:nvPicPr>
                    <pic:cNvPr descr="../../results/Continuous_Outcome_Modeling_results/6.final_results_RMSE.png" id="0" name="Picture"/>
                    <pic:cNvPicPr>
                      <a:picLocks noChangeArrowheads="1" noChangeAspect="1"/>
                    </pic:cNvPicPr>
                  </pic:nvPicPr>
                  <pic:blipFill>
                    <a:blip r:embed="rId54"/>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 25. Results of the best fitting model (knn, or</w:t>
      </w:r>
      <w:r>
        <w:t xml:space="preserve"> </w:t>
      </w:r>
      <w:r>
        <w:t xml:space="preserve">“</w:t>
      </w:r>
      <w:r>
        <w:t xml:space="preserve">fit_3</w:t>
      </w:r>
      <w:r>
        <w:t xml:space="preserve">”</w:t>
      </w:r>
      <w:r>
        <w:t xml:space="preserve">), evaluated on the training and test data using the performance metric RMSE (root mean squared error). The RMSE of the null model on each of the two data sets is also displayed (</w:t>
      </w:r>
      <w:r>
        <w:t xml:space="preserve">“</w:t>
      </w:r>
      <w:r>
        <w:t xml:space="preserve">Null_train</w:t>
      </w:r>
      <w:r>
        <w:t xml:space="preserve">”</w:t>
      </w:r>
      <w:r>
        <w:t xml:space="preserve"> </w:t>
      </w:r>
      <w:r>
        <w:t xml:space="preserve">and</w:t>
      </w:r>
      <w:r>
        <w:t xml:space="preserve"> </w:t>
      </w:r>
      <w:r>
        <w:t xml:space="preserve">“</w:t>
      </w:r>
      <w:r>
        <w:t xml:space="preserve">Null_test</w:t>
      </w:r>
      <w:r>
        <w:t xml:space="preserve">”</w:t>
      </w:r>
      <w:r>
        <w:t xml:space="preserve">) for context and comparison.</w:t>
      </w:r>
    </w:p>
    <w:p>
      <w:pPr>
        <w:pStyle w:val="Heading2"/>
      </w:pPr>
      <w:bookmarkStart w:id="55" w:name="question-2-are-there-definable-geographical-regions-based-on-the-available-predictor-variables-tree-fitting"/>
      <w:r>
        <w:rPr>
          <w:b/>
          <w:i/>
        </w:rPr>
        <w:t xml:space="preserve">Question 2: Are there definable geographical regions based on the available predictor variables? Tree Fitting</w:t>
      </w:r>
      <w:bookmarkEnd w:id="55"/>
    </w:p>
    <w:p>
      <w:pPr>
        <w:pStyle w:val="CaptionedFigure"/>
      </w:pPr>
      <w:r>
        <w:drawing>
          <wp:inline>
            <wp:extent cx="5334000" cy="4267200"/>
            <wp:effectExtent b="0" l="0" r="0" t="0"/>
            <wp:docPr descr="Fig 26. Histogram displaying the distribution of sampling across the six bioregions of the data set. Abbreviations: AK to British Columbia = Alaska, USA to British Columbia, Canada; Salish Sea, WA = Salish Sea, WA, USA; Olympic Coast WA to SanFran = Olympic Coast, WA, USA to San Francisco, CA, USA; SanFran to Gov’t Point = San Francisco to Government Point, CA, USA; Channel Islands South = Channel Islands South, CA, USA; Gov’t Point to Mexico = Government Point, CA, USA to Mexico." title="" id="1" name="Picture"/>
            <a:graphic>
              <a:graphicData uri="http://schemas.openxmlformats.org/drawingml/2006/picture">
                <pic:pic>
                  <pic:nvPicPr>
                    <pic:cNvPr descr="../../results/Categorical_Outcome_Modeling_results/1.bioregion_histogram.png" id="0" name="Picture"/>
                    <pic:cNvPicPr>
                      <a:picLocks noChangeArrowheads="1" noChangeAspect="1"/>
                    </pic:cNvPicPr>
                  </pic:nvPicPr>
                  <pic:blipFill>
                    <a:blip r:embed="rId56"/>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 26. Histogram displaying the distribution of sampling across the six bioregions of the data set. Abbreviations: AK to British Columbia = Alaska, USA to British Columbia, Canada; Salish Sea, WA = Salish Sea, WA, USA; Olympic Coast WA to SanFran = Olympic Coast, WA, USA to San Francisco, CA, USA; SanFran to Gov’t Point = San Francisco to Government Point, CA, USA; Channel Islands South = Channel Islands South, CA, USA; Gov’t Point to Mexico = Government Point, CA, USA to Mexico.</w:t>
      </w:r>
    </w:p>
    <w:p>
      <w:pPr>
        <w:pStyle w:val="CaptionedFigure"/>
      </w:pPr>
      <w:r>
        <w:drawing>
          <wp:inline>
            <wp:extent cx="5334000" cy="4267200"/>
            <wp:effectExtent b="0" l="0" r="0" t="0"/>
            <wp:docPr descr="Fig 27. (continued below)" title="" id="1" name="Picture"/>
            <a:graphic>
              <a:graphicData uri="http://schemas.openxmlformats.org/drawingml/2006/picture">
                <pic:pic>
                  <pic:nvPicPr>
                    <pic:cNvPr descr="../../results/Categorical_Outcome_Modeling_results/2.spatial_num_pred.png" id="0" name="Picture"/>
                    <pic:cNvPicPr>
                      <a:picLocks noChangeArrowheads="1" noChangeAspect="1"/>
                    </pic:cNvPicPr>
                  </pic:nvPicPr>
                  <pic:blipFill>
                    <a:blip r:embed="rId57"/>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 27. (continued below)</w:t>
      </w:r>
    </w:p>
    <w:p>
      <w:pPr>
        <w:pStyle w:val="CaptionedFigure"/>
      </w:pPr>
      <w:r>
        <w:drawing>
          <wp:inline>
            <wp:extent cx="5334000" cy="3809273"/>
            <wp:effectExtent b="0" l="0" r="0" t="0"/>
            <wp:docPr descr="Fig 27. (continued below)" title="" id="1" name="Picture"/>
            <a:graphic>
              <a:graphicData uri="http://schemas.openxmlformats.org/drawingml/2006/picture">
                <pic:pic>
                  <pic:nvPicPr>
                    <pic:cNvPr descr="../../results/Categorical_Outcome_Modeling_results/3.temporal_num_pred.png" id="0" name="Picture"/>
                    <pic:cNvPicPr>
                      <a:picLocks noChangeArrowheads="1" noChangeAspect="1"/>
                    </pic:cNvPicPr>
                  </pic:nvPicPr>
                  <pic:blipFill>
                    <a:blip r:embed="rId58"/>
                    <a:stretch>
                      <a:fillRect/>
                    </a:stretch>
                  </pic:blipFill>
                  <pic:spPr bwMode="auto">
                    <a:xfrm>
                      <a:off x="0" y="0"/>
                      <a:ext cx="5334000" cy="3809273"/>
                    </a:xfrm>
                    <a:prstGeom prst="rect">
                      <a:avLst/>
                    </a:prstGeom>
                    <a:noFill/>
                    <a:ln w="9525">
                      <a:noFill/>
                      <a:headEnd/>
                      <a:tailEnd/>
                    </a:ln>
                  </pic:spPr>
                </pic:pic>
              </a:graphicData>
            </a:graphic>
          </wp:inline>
        </w:drawing>
      </w:r>
    </w:p>
    <w:p>
      <w:pPr>
        <w:pStyle w:val="ImageCaption"/>
      </w:pPr>
      <w:r>
        <w:t xml:space="preserve">Fig 27. (continued below)</w:t>
      </w:r>
    </w:p>
    <w:p>
      <w:pPr>
        <w:pStyle w:val="CaptionedFigure"/>
      </w:pPr>
      <w:r>
        <w:drawing>
          <wp:inline>
            <wp:extent cx="5334000" cy="3809273"/>
            <wp:effectExtent b="0" l="0" r="0" t="0"/>
            <wp:docPr descr="Fig 27. Plotting (A) spatial (B) temporal and (C) species-related numeric predictors as a function of the category of interest, bioregion (red = Alaska, USA to British Columbia, Canada; yellow = Salish Sea, WA, USA; green = Olympic Coast, WA, USA to San Francisco, CA, USA; blue = San Francisco to Government Point, CA, USA; purple = Channel Islands South, CA, USA; pink = Government Point, CA, USA to Mexico). The data is displayed as boxplots with all points overlaid." title="" id="1" name="Picture"/>
            <a:graphic>
              <a:graphicData uri="http://schemas.openxmlformats.org/drawingml/2006/picture">
                <pic:pic>
                  <pic:nvPicPr>
                    <pic:cNvPr descr="../../results/Categorical_Outcome_Modeling_results/4.spp.rel_num_pred.png" id="0" name="Picture"/>
                    <pic:cNvPicPr>
                      <a:picLocks noChangeArrowheads="1" noChangeAspect="1"/>
                    </pic:cNvPicPr>
                  </pic:nvPicPr>
                  <pic:blipFill>
                    <a:blip r:embed="rId59"/>
                    <a:stretch>
                      <a:fillRect/>
                    </a:stretch>
                  </pic:blipFill>
                  <pic:spPr bwMode="auto">
                    <a:xfrm>
                      <a:off x="0" y="0"/>
                      <a:ext cx="5334000" cy="3809273"/>
                    </a:xfrm>
                    <a:prstGeom prst="rect">
                      <a:avLst/>
                    </a:prstGeom>
                    <a:noFill/>
                    <a:ln w="9525">
                      <a:noFill/>
                      <a:headEnd/>
                      <a:tailEnd/>
                    </a:ln>
                  </pic:spPr>
                </pic:pic>
              </a:graphicData>
            </a:graphic>
          </wp:inline>
        </w:drawing>
      </w:r>
    </w:p>
    <w:p>
      <w:pPr>
        <w:pStyle w:val="ImageCaption"/>
      </w:pPr>
      <w:r>
        <w:t xml:space="preserve">Fig 27. Plotting (A) spatial (B) temporal and (C) species-related numeric predictors as a function of the category of interest, bioregion (red = Alaska, USA to British Columbia, Canada; yellow = Salish Sea, WA, USA; green = Olympic Coast, WA, USA to San Francisco, CA, USA; blue = San Francisco to Government Point, CA, USA; purple = Channel Islands South, CA, USA; pink = Government Point, CA, USA to Mexico). The data is displayed as boxplots with all points overlaid.</w:t>
      </w:r>
    </w:p>
    <w:p>
      <w:pPr>
        <w:pStyle w:val="CaptionedFigure"/>
      </w:pPr>
      <w:r>
        <w:drawing>
          <wp:inline>
            <wp:extent cx="5334000" cy="3809273"/>
            <wp:effectExtent b="0" l="0" r="0" t="0"/>
            <wp:docPr descr="Fig 28. (continued below)" title="" id="1" name="Picture"/>
            <a:graphic>
              <a:graphicData uri="http://schemas.openxmlformats.org/drawingml/2006/picture">
                <pic:pic>
                  <pic:nvPicPr>
                    <pic:cNvPr descr="../../results/Categorical_Outcome_Modeling_results/5.sampleinfo_cat_pred.png" id="0" name="Picture"/>
                    <pic:cNvPicPr>
                      <a:picLocks noChangeArrowheads="1" noChangeAspect="1"/>
                    </pic:cNvPicPr>
                  </pic:nvPicPr>
                  <pic:blipFill>
                    <a:blip r:embed="rId60"/>
                    <a:stretch>
                      <a:fillRect/>
                    </a:stretch>
                  </pic:blipFill>
                  <pic:spPr bwMode="auto">
                    <a:xfrm>
                      <a:off x="0" y="0"/>
                      <a:ext cx="5334000" cy="3809273"/>
                    </a:xfrm>
                    <a:prstGeom prst="rect">
                      <a:avLst/>
                    </a:prstGeom>
                    <a:noFill/>
                    <a:ln w="9525">
                      <a:noFill/>
                      <a:headEnd/>
                      <a:tailEnd/>
                    </a:ln>
                  </pic:spPr>
                </pic:pic>
              </a:graphicData>
            </a:graphic>
          </wp:inline>
        </w:drawing>
      </w:r>
    </w:p>
    <w:p>
      <w:pPr>
        <w:pStyle w:val="ImageCaption"/>
      </w:pPr>
      <w:r>
        <w:t xml:space="preserve">Fig 28. (continued below)</w:t>
      </w:r>
    </w:p>
    <w:p>
      <w:pPr>
        <w:pStyle w:val="CaptionedFigure"/>
      </w:pPr>
      <w:r>
        <w:drawing>
          <wp:inline>
            <wp:extent cx="5334000" cy="3809273"/>
            <wp:effectExtent b="0" l="0" r="0" t="0"/>
            <wp:docPr descr="Fig 28. (continued below)" title="" id="1" name="Picture"/>
            <a:graphic>
              <a:graphicData uri="http://schemas.openxmlformats.org/drawingml/2006/picture">
                <pic:pic>
                  <pic:nvPicPr>
                    <pic:cNvPr descr="../../results/Categorical_Outcome_Modeling_results/6.spatial_cat_pred.png" id="0" name="Picture"/>
                    <pic:cNvPicPr>
                      <a:picLocks noChangeArrowheads="1" noChangeAspect="1"/>
                    </pic:cNvPicPr>
                  </pic:nvPicPr>
                  <pic:blipFill>
                    <a:blip r:embed="rId61"/>
                    <a:stretch>
                      <a:fillRect/>
                    </a:stretch>
                  </pic:blipFill>
                  <pic:spPr bwMode="auto">
                    <a:xfrm>
                      <a:off x="0" y="0"/>
                      <a:ext cx="5334000" cy="3809273"/>
                    </a:xfrm>
                    <a:prstGeom prst="rect">
                      <a:avLst/>
                    </a:prstGeom>
                    <a:noFill/>
                    <a:ln w="9525">
                      <a:noFill/>
                      <a:headEnd/>
                      <a:tailEnd/>
                    </a:ln>
                  </pic:spPr>
                </pic:pic>
              </a:graphicData>
            </a:graphic>
          </wp:inline>
        </w:drawing>
      </w:r>
    </w:p>
    <w:p>
      <w:pPr>
        <w:pStyle w:val="ImageCaption"/>
      </w:pPr>
      <w:r>
        <w:t xml:space="preserve">Fig 28. (continued below)</w:t>
      </w:r>
    </w:p>
    <w:p>
      <w:pPr>
        <w:pStyle w:val="CaptionedFigure"/>
      </w:pPr>
      <w:r>
        <w:drawing>
          <wp:inline>
            <wp:extent cx="5334000" cy="3809273"/>
            <wp:effectExtent b="0" l="0" r="0" t="0"/>
            <wp:docPr descr="Fig 28. Plotting (A) logistics/sampling info (B) spatial and (C) ecological categorical predictors as a function of the category of interest, bioregion (red = Alaska, USA to British Columbia, Canada; yellow = Salish Sea, WA, USA; green = Olympic Coast, WA, USA to San Francisco, CA, USA; blue = San Francisco to Government Point, CA, USA; purple = Channel Islands South, CA, USA; pink = Government Point, CA, USA to Mexico)." title="" id="1" name="Picture"/>
            <a:graphic>
              <a:graphicData uri="http://schemas.openxmlformats.org/drawingml/2006/picture">
                <pic:pic>
                  <pic:nvPicPr>
                    <pic:cNvPr descr="../../results/Categorical_Outcome_Modeling_results/7.eco_cat_pred.png" id="0" name="Picture"/>
                    <pic:cNvPicPr>
                      <a:picLocks noChangeArrowheads="1" noChangeAspect="1"/>
                    </pic:cNvPicPr>
                  </pic:nvPicPr>
                  <pic:blipFill>
                    <a:blip r:embed="rId62"/>
                    <a:stretch>
                      <a:fillRect/>
                    </a:stretch>
                  </pic:blipFill>
                  <pic:spPr bwMode="auto">
                    <a:xfrm>
                      <a:off x="0" y="0"/>
                      <a:ext cx="5334000" cy="3809273"/>
                    </a:xfrm>
                    <a:prstGeom prst="rect">
                      <a:avLst/>
                    </a:prstGeom>
                    <a:noFill/>
                    <a:ln w="9525">
                      <a:noFill/>
                      <a:headEnd/>
                      <a:tailEnd/>
                    </a:ln>
                  </pic:spPr>
                </pic:pic>
              </a:graphicData>
            </a:graphic>
          </wp:inline>
        </w:drawing>
      </w:r>
    </w:p>
    <w:p>
      <w:pPr>
        <w:pStyle w:val="ImageCaption"/>
      </w:pPr>
      <w:r>
        <w:t xml:space="preserve">Fig 28. Plotting (A) logistics/sampling info (B) spatial and (C) ecological categorical predictors as a function of the category of interest, bioregion (red = Alaska, USA to British Columbia, Canada; yellow = Salish Sea, WA, USA; green = Olympic Coast, WA, USA to San Francisco, CA, USA; blue = San Francisco to Government Point, CA, USA; purple = Channel Islands South, CA, USA; pink = Government Point, CA, USA to Mexico).</w:t>
      </w:r>
    </w:p>
    <w:p>
      <w:pPr>
        <w:pStyle w:val="CaptionedFigure"/>
      </w:pPr>
      <w:r>
        <w:drawing>
          <wp:inline>
            <wp:extent cx="5334000" cy="3556000"/>
            <wp:effectExtent b="0" l="0" r="0" t="0"/>
            <wp:docPr descr="Fig 29. Results of single predictor models attempting to predict bioregion, evaluated on the training data using the performance metric accuracy (ACC). ACC is the overall agreement rate averaged over cross-validation iterations. The red dashed line represents the ACC of the null model (null model ACC = 0.426)." title="" id="1" name="Picture"/>
            <a:graphic>
              <a:graphicData uri="http://schemas.openxmlformats.org/drawingml/2006/picture">
                <pic:pic>
                  <pic:nvPicPr>
                    <pic:cNvPr descr="../../results/Categorical_Outcome_Modeling_results/8.single_predictor_accuracy.png" id="0" name="Picture"/>
                    <pic:cNvPicPr>
                      <a:picLocks noChangeArrowheads="1" noChangeAspect="1"/>
                    </pic:cNvPicPr>
                  </pic:nvPicPr>
                  <pic:blipFill>
                    <a:blip r:embed="rId63"/>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 29. Results of single predictor models attempting to predict bioregion, evaluated on the training data using the performance metric accuracy (ACC). ACC is the overall agreement rate averaged over cross-validation iterations. The red dashed line represents the ACC of the null model (null model ACC = 0.426).</w:t>
      </w:r>
    </w:p>
    <w:p>
      <w:pPr>
        <w:pStyle w:val="CaptionedFigure"/>
      </w:pPr>
      <w:r>
        <w:drawing>
          <wp:inline>
            <wp:extent cx="5334000" cy="3166812"/>
            <wp:effectExtent b="0" l="0" r="0" t="0"/>
            <wp:docPr descr="Fig 30. Results of four full logistical models [GBM (boosted tree ensemble), PDA (discriminant analysis), RF1 (random forest), and RF2 (random forest with pre-processed predictors)] attempting to predict bioregion using the subset training data and evaluated on the training data using the performance metrics accuracy and kappa. “Kappa” is Cohen’s (unweighted) Kappa statistic averaged across the resampling results." title="" id="1" name="Picture"/>
            <a:graphic>
              <a:graphicData uri="http://schemas.openxmlformats.org/drawingml/2006/picture">
                <pic:pic>
                  <pic:nvPicPr>
                    <pic:cNvPr descr="../../results/Categorical_Outcome_Modeling_results/11.Accuracy_Kappa_Models_notree.png" id="0" name="Picture"/>
                    <pic:cNvPicPr>
                      <a:picLocks noChangeArrowheads="1" noChangeAspect="1"/>
                    </pic:cNvPicPr>
                  </pic:nvPicPr>
                  <pic:blipFill>
                    <a:blip r:embed="rId64"/>
                    <a:stretch>
                      <a:fillRect/>
                    </a:stretch>
                  </pic:blipFill>
                  <pic:spPr bwMode="auto">
                    <a:xfrm>
                      <a:off x="0" y="0"/>
                      <a:ext cx="5334000" cy="3166812"/>
                    </a:xfrm>
                    <a:prstGeom prst="rect">
                      <a:avLst/>
                    </a:prstGeom>
                    <a:noFill/>
                    <a:ln w="9525">
                      <a:noFill/>
                      <a:headEnd/>
                      <a:tailEnd/>
                    </a:ln>
                  </pic:spPr>
                </pic:pic>
              </a:graphicData>
            </a:graphic>
          </wp:inline>
        </w:drawing>
      </w:r>
    </w:p>
    <w:p>
      <w:pPr>
        <w:pStyle w:val="ImageCaption"/>
      </w:pPr>
      <w:r>
        <w:t xml:space="preserve">Fig 30. Results of four full logistical models [GBM (boosted tree ensemble), PDA (discriminant analysis), RF1 (random forest), and RF2 (random forest with pre-processed predictors)] attempting to predict bioregion using the subset training data and evaluated on the training data using the performance metrics accuracy and kappa.</w:t>
      </w:r>
      <w:r>
        <w:t xml:space="preserve"> </w:t>
      </w:r>
      <w:r>
        <w:t xml:space="preserve">“</w:t>
      </w:r>
      <w:r>
        <w:t xml:space="preserve">Kappa</w:t>
      </w:r>
      <w:r>
        <w:t xml:space="preserve">”</w:t>
      </w:r>
      <w:r>
        <w:t xml:space="preserve"> </w:t>
      </w:r>
      <w:r>
        <w:t xml:space="preserve">is Cohen’s (unweighted) Kappa statistic averaged across the resampling results.</w:t>
      </w:r>
    </w:p>
    <w:p>
      <w:pPr>
        <w:pStyle w:val="CaptionedFigure"/>
      </w:pPr>
      <w:r>
        <w:drawing>
          <wp:inline>
            <wp:extent cx="5334000" cy="2355391"/>
            <wp:effectExtent b="0" l="0" r="0" t="0"/>
            <wp:docPr descr="Fig 31. Confusion matrix describing the performance of the best-fitting logistical classification model (GBM, or boosted tree ensemble) on the subset test data." title="" id="1" name="Picture"/>
            <a:graphic>
              <a:graphicData uri="http://schemas.openxmlformats.org/drawingml/2006/picture">
                <pic:pic>
                  <pic:nvPicPr>
                    <pic:cNvPr descr="../../results/Categorical_Outcome_Modeling_results/12.PredvsActual_table.png" id="0" name="Picture"/>
                    <pic:cNvPicPr>
                      <a:picLocks noChangeArrowheads="1" noChangeAspect="1"/>
                    </pic:cNvPicPr>
                  </pic:nvPicPr>
                  <pic:blipFill>
                    <a:blip r:embed="rId65"/>
                    <a:stretch>
                      <a:fillRect/>
                    </a:stretch>
                  </pic:blipFill>
                  <pic:spPr bwMode="auto">
                    <a:xfrm>
                      <a:off x="0" y="0"/>
                      <a:ext cx="5334000" cy="2355391"/>
                    </a:xfrm>
                    <a:prstGeom prst="rect">
                      <a:avLst/>
                    </a:prstGeom>
                    <a:noFill/>
                    <a:ln w="9525">
                      <a:noFill/>
                      <a:headEnd/>
                      <a:tailEnd/>
                    </a:ln>
                  </pic:spPr>
                </pic:pic>
              </a:graphicData>
            </a:graphic>
          </wp:inline>
        </w:drawing>
      </w:r>
    </w:p>
    <w:p>
      <w:pPr>
        <w:pStyle w:val="ImageCaption"/>
      </w:pPr>
      <w:r>
        <w:t xml:space="preserve">Fig 31. Confusion matrix describing the performance of the best-fitting logistical classification model (GBM, or boosted tree ensemble) on the subset test data.</w:t>
      </w:r>
    </w:p>
    <w:p>
      <w:pPr>
        <w:pStyle w:val="CaptionedFigure"/>
      </w:pPr>
      <w:r>
        <w:drawing>
          <wp:inline>
            <wp:extent cx="5334000" cy="2322722"/>
            <wp:effectExtent b="0" l="0" r="0" t="0"/>
            <wp:docPr descr="Fig 32. Confusion matrix describing the performance of the best-fitting logistical classification model (GBM, or boosted tree ensemble) on the subset test data." title="" id="1" name="Picture"/>
            <a:graphic>
              <a:graphicData uri="http://schemas.openxmlformats.org/drawingml/2006/picture">
                <pic:pic>
                  <pic:nvPicPr>
                    <pic:cNvPr descr="../../results/Categorical_Outcome_Modeling_results/13.PredvsActual_table_final.png" id="0" name="Picture"/>
                    <pic:cNvPicPr>
                      <a:picLocks noChangeArrowheads="1" noChangeAspect="1"/>
                    </pic:cNvPicPr>
                  </pic:nvPicPr>
                  <pic:blipFill>
                    <a:blip r:embed="rId66"/>
                    <a:stretch>
                      <a:fillRect/>
                    </a:stretch>
                  </pic:blipFill>
                  <pic:spPr bwMode="auto">
                    <a:xfrm>
                      <a:off x="0" y="0"/>
                      <a:ext cx="5334000" cy="2322722"/>
                    </a:xfrm>
                    <a:prstGeom prst="rect">
                      <a:avLst/>
                    </a:prstGeom>
                    <a:noFill/>
                    <a:ln w="9525">
                      <a:noFill/>
                      <a:headEnd/>
                      <a:tailEnd/>
                    </a:ln>
                  </pic:spPr>
                </pic:pic>
              </a:graphicData>
            </a:graphic>
          </wp:inline>
        </w:drawing>
      </w:r>
    </w:p>
    <w:p>
      <w:pPr>
        <w:pStyle w:val="ImageCaption"/>
      </w:pPr>
      <w:r>
        <w:t xml:space="preserve">Fig 32. Confusion matrix describing the performance of the best-fitting logistical classification model (GBM, or boosted tree ensemble) on the subset test data.</w:t>
      </w:r>
    </w:p>
    <w:p>
      <w:pPr>
        <w:pStyle w:val="CaptionedFigure"/>
      </w:pPr>
      <w:r>
        <w:drawing>
          <wp:inline>
            <wp:extent cx="5334000" cy="4267200"/>
            <wp:effectExtent b="0" l="0" r="0" t="0"/>
            <wp:docPr descr="Fig 33. Results of the best-fitting logistical classification model (GBM, or boosted tree ensemble), evaluated on the training and test data using the performance metric accuracy (ACC). The ACC of the null model on each of the two data sets is also displayed (“Null_train” and “Null_test”) for context and comparison." title="" id="1" name="Picture"/>
            <a:graphic>
              <a:graphicData uri="http://schemas.openxmlformats.org/drawingml/2006/picture">
                <pic:pic>
                  <pic:nvPicPr>
                    <pic:cNvPr descr="../../results/Categorical_Outcome_Modeling_results/14.final_results_cat.png" id="0" name="Picture"/>
                    <pic:cNvPicPr>
                      <a:picLocks noChangeArrowheads="1" noChangeAspect="1"/>
                    </pic:cNvPicPr>
                  </pic:nvPicPr>
                  <pic:blipFill>
                    <a:blip r:embed="rId67"/>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 33. Results of the best-fitting logistical classification model (GBM, or boosted tree ensemble), evaluated on the training and test data using the performance metric accuracy (ACC). The ACC of the null model on each of the two data sets is also displayed (</w:t>
      </w:r>
      <w:r>
        <w:t xml:space="preserve">“</w:t>
      </w:r>
      <w:r>
        <w:t xml:space="preserve">Null_train</w:t>
      </w:r>
      <w:r>
        <w:t xml:space="preserve">”</w:t>
      </w:r>
      <w:r>
        <w:t xml:space="preserve"> </w:t>
      </w:r>
      <w:r>
        <w:t xml:space="preserve">and</w:t>
      </w:r>
      <w:r>
        <w:t xml:space="preserve"> </w:t>
      </w:r>
      <w:r>
        <w:t xml:space="preserve">“</w:t>
      </w:r>
      <w:r>
        <w:t xml:space="preserve">Null_test</w:t>
      </w:r>
      <w:r>
        <w:t xml:space="preserve">”</w:t>
      </w:r>
      <w:r>
        <w:t xml:space="preserve">) for context and comparison.</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000">
    <w:abstractNumId w:val="990"/>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6" Target="media/rId56.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22" Target="media/rId22.png" /><Relationship Type="http://schemas.openxmlformats.org/officeDocument/2006/relationships/image" Id="rId33" Target="media/rId33.png" /><Relationship Type="http://schemas.openxmlformats.org/officeDocument/2006/relationships/image" Id="rId34" Target="media/rId34.png" /><Relationship Type="http://schemas.openxmlformats.org/officeDocument/2006/relationships/image" Id="rId35" Target="media/rId35.png" /><Relationship Type="http://schemas.openxmlformats.org/officeDocument/2006/relationships/image" Id="rId36" Target="media/rId36.png" /><Relationship Type="http://schemas.openxmlformats.org/officeDocument/2006/relationships/image" Id="rId37" Target="media/rId37.png" /><Relationship Type="http://schemas.openxmlformats.org/officeDocument/2006/relationships/image" Id="rId32" Target="media/rId32.png" /><Relationship Type="http://schemas.openxmlformats.org/officeDocument/2006/relationships/image" Id="rId39" Target="media/rId39.png" /><Relationship Type="http://schemas.openxmlformats.org/officeDocument/2006/relationships/image" Id="rId40" Target="media/rId40.png" /><Relationship Type="http://schemas.openxmlformats.org/officeDocument/2006/relationships/image" Id="rId41" Target="media/rId41.png" /><Relationship Type="http://schemas.openxmlformats.org/officeDocument/2006/relationships/image" Id="rId42" Target="media/rId42.png" /><Relationship Type="http://schemas.openxmlformats.org/officeDocument/2006/relationships/image" Id="rId23" Target="media/rId23.png" /><Relationship Type="http://schemas.openxmlformats.org/officeDocument/2006/relationships/image" Id="rId24" Target="media/rId24.png" /><Relationship Type="http://schemas.openxmlformats.org/officeDocument/2006/relationships/image" Id="rId25" Target="media/rId25.png" /><Relationship Type="http://schemas.openxmlformats.org/officeDocument/2006/relationships/image" Id="rId27" Target="media/rId27.png" /><Relationship Type="http://schemas.openxmlformats.org/officeDocument/2006/relationships/image" Id="rId28" Target="media/rId28.png" /><Relationship Type="http://schemas.openxmlformats.org/officeDocument/2006/relationships/image" Id="rId29" Target="media/rId29.png" /><Relationship Type="http://schemas.openxmlformats.org/officeDocument/2006/relationships/image" Id="rId30" Target="media/rId30.png" /></Relationships>
</file>

<file path=word/_rels/footnotes.xml.rels><?xml version="1.0" encoding="UTF-8"?>
<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2019-12-07T04:30:45Z</dcterms:created>
  <dcterms:modified xsi:type="dcterms:W3CDTF">2019-12-07T04:30:45Z</dcterms:modified>
</cp:coreProperties>
</file>